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CG and Performance:</w:t>
      </w:r>
    </w:p>
    <w:p w:rsidR="00000000" w:rsidDel="00000000" w:rsidP="00000000" w:rsidRDefault="00000000" w:rsidRPr="00000000" w14:paraId="00000002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https://www.boldmethod.com/learn-to-fly/performance/how-does-cg-affect-aircraft-performance/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Well explained article of the effects of CG on stability and performance.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Stalling: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https://www.pilotmall.com/blogs/news/how-to-prevent-and-recover-from-aircraft-stalls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Stalling from a manned aircraft’s point of view, but good info nonetheless.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jc w:val="center"/>
      <w:rPr/>
    </w:pPr>
    <w:r w:rsidDel="00000000" w:rsidR="00000000" w:rsidRPr="00000000">
      <w:rPr>
        <w:rtl w:val="0"/>
      </w:rPr>
      <w:t xml:space="preserve">Supplementary Reading Material for SECTION 7 of the RPAT Curriculum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s://www.boldmethod.com/learn-to-fly/performance/how-does-cg-affect-aircraft-performance/" TargetMode="External"/><Relationship Id="rId7" Type="http://schemas.openxmlformats.org/officeDocument/2006/relationships/hyperlink" Target="https://www.pilotmall.com/blogs/news/how-to-prevent-and-recover-from-aircraft-stalls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